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21D1A" w14:textId="77777777"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14:paraId="31E31ABB" w14:textId="77777777" w:rsidR="00A1605C" w:rsidRPr="005F071E" w:rsidRDefault="00A1605C" w:rsidP="005F071E">
      <w:pPr>
        <w:jc w:val="center"/>
        <w:rPr>
          <w:b/>
          <w:sz w:val="28"/>
          <w:szCs w:val="28"/>
        </w:rPr>
      </w:pPr>
    </w:p>
    <w:p w14:paraId="708538D2" w14:textId="77777777"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14:paraId="41E1C12B" w14:textId="77777777"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14:paraId="0CBC6E02" w14:textId="77777777"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14:paraId="33D4FEF8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14:paraId="0D464B6F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C8A4E8" w14:textId="77777777"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14:paraId="186B5258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842A952" w14:textId="77777777"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14:paraId="6066A732" w14:textId="77777777"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14:paraId="5D292565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14:paraId="0E8C73AE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14:paraId="3D3E8179" w14:textId="77777777"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14:paraId="21F9DFB1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14:paraId="0A074FE3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14:paraId="55906EFC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14:paraId="20FEAA3E" w14:textId="77777777"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14:paraId="64D5C731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14:paraId="78478541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14:paraId="6AD00260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14:paraId="48F80F24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14:paraId="6F69B210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E115C9" w14:textId="77777777"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14:paraId="0A0D912C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586ED98" w14:textId="77777777"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14:paraId="6455CB4A" w14:textId="77777777"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14:paraId="4A64C560" w14:textId="77777777"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14:paraId="16F4D882" w14:textId="77777777"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14:paraId="4A22A487" w14:textId="77777777"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14:paraId="2E0EBCD0" w14:textId="77777777"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14:paraId="066E5560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14:paraId="51CE073C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14:paraId="67F86DF3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14:paraId="409EE55C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14:paraId="2AD1CB59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14:paraId="4D72CF67" w14:textId="77777777"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14:paraId="488B737D" w14:textId="77777777"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14:paraId="28DA70C8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14:paraId="5F25717C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14:paraId="3A7F912B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14:paraId="4AF0E068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14:paraId="15DDE20E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14:paraId="7C35F89E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14:paraId="3D8FB4D1" w14:textId="77777777"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14:paraId="4D1893A9" w14:textId="77777777"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14:paraId="42E59D26" w14:textId="77777777"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14:paraId="7DCAA413" w14:textId="77777777"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14:paraId="620574F8" w14:textId="77777777"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14:paraId="066548E8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14:paraId="76AA9497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14:paraId="09135A6C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14:paraId="4680948F" w14:textId="77777777"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14:paraId="4DD01C0C" w14:textId="77777777"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14:paraId="43D0D9FE" w14:textId="77777777"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14:paraId="3E47B2C0" w14:textId="77777777"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14:paraId="5FA1428B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14:paraId="4882C3AF" w14:textId="77777777"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14:paraId="5B99EDB5" w14:textId="77777777"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14:paraId="3B41307D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14:paraId="4EEE0F4A" w14:textId="77777777"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14:paraId="1DCD6898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C325978" w14:textId="77777777"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14:paraId="629F5105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4F4138C" w14:textId="77777777"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</w:p>
    <w:p w14:paraId="729E9675" w14:textId="77777777"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14:paraId="48FEF3F9" w14:textId="77777777"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14:paraId="77E27FD4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14:paraId="474EE931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14:paraId="3954DC56" w14:textId="77777777"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14:paraId="0795996D" w14:textId="77777777"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14:paraId="112B9755" w14:textId="77777777"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14:paraId="50595C36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14:paraId="0F3376A3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14:paraId="445AF7B9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14:paraId="70DE49FF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14:paraId="1AC9BB04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14:paraId="48185A33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14:paraId="694936E2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14:paraId="38CB6C92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14:paraId="6F10E92A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14:paraId="76CDDF13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14:paraId="52F3CE9E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14:paraId="6E4A60D5" w14:textId="77777777"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</w:t>
      </w:r>
      <w:proofErr w:type="gramStart"/>
      <w:r w:rsidRPr="005F071E">
        <w:rPr>
          <w:sz w:val="28"/>
          <w:szCs w:val="28"/>
        </w:rPr>
        <w:t xml:space="preserve">лицом, </w:t>
      </w:r>
      <w:r w:rsidR="000A03C9" w:rsidRPr="005F071E">
        <w:rPr>
          <w:sz w:val="28"/>
          <w:szCs w:val="28"/>
        </w:rPr>
        <w:t xml:space="preserve"> его</w:t>
      </w:r>
      <w:proofErr w:type="gramEnd"/>
      <w:r w:rsidR="000A03C9" w:rsidRPr="005F071E">
        <w:rPr>
          <w:sz w:val="28"/>
          <w:szCs w:val="28"/>
        </w:rPr>
        <w:t xml:space="preserve">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14:paraId="3671B8A0" w14:textId="77777777"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</w:t>
      </w:r>
      <w:proofErr w:type="gramStart"/>
      <w:r w:rsidR="005B6CB7" w:rsidRPr="005F071E">
        <w:rPr>
          <w:sz w:val="28"/>
          <w:szCs w:val="28"/>
        </w:rPr>
        <w:t xml:space="preserve">родственниками </w:t>
      </w:r>
      <w:r w:rsidRPr="005F071E">
        <w:rPr>
          <w:sz w:val="28"/>
          <w:szCs w:val="28"/>
        </w:rPr>
        <w:t xml:space="preserve"> кредитов</w:t>
      </w:r>
      <w:proofErr w:type="gramEnd"/>
      <w:r w:rsidRPr="005F071E">
        <w:rPr>
          <w:sz w:val="28"/>
          <w:szCs w:val="28"/>
        </w:rPr>
        <w:t xml:space="preserve">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14:paraId="43C4A5AC" w14:textId="77777777"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совершении частых или крупных следок с субъектами предпринимательской деятельности, владельцами которых или </w:t>
      </w:r>
      <w:proofErr w:type="gramStart"/>
      <w:r w:rsidRPr="005F071E">
        <w:rPr>
          <w:sz w:val="28"/>
          <w:szCs w:val="28"/>
        </w:rPr>
        <w:t>руководящие должности</w:t>
      </w:r>
      <w:proofErr w:type="gramEnd"/>
      <w:r w:rsidRPr="005F071E">
        <w:rPr>
          <w:sz w:val="28"/>
          <w:szCs w:val="28"/>
        </w:rPr>
        <w:t xml:space="preserve"> в которых замещают родственники должностных лиц;</w:t>
      </w:r>
    </w:p>
    <w:p w14:paraId="6A147F43" w14:textId="77777777"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14:paraId="2F632DFE" w14:textId="77777777"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14:paraId="0AE83E65" w14:textId="77777777"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14:paraId="0AAE695C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14:paraId="600C9888" w14:textId="77777777"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14:paraId="5E447664" w14:textId="77777777"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</w:t>
      </w:r>
      <w:proofErr w:type="gramStart"/>
      <w:r w:rsidRPr="005F071E">
        <w:rPr>
          <w:sz w:val="28"/>
          <w:szCs w:val="28"/>
        </w:rPr>
        <w:t xml:space="preserve">характера </w:t>
      </w:r>
      <w:r w:rsidR="00DB06E4" w:rsidRPr="005F071E">
        <w:rPr>
          <w:sz w:val="28"/>
          <w:szCs w:val="28"/>
        </w:rPr>
        <w:t xml:space="preserve"> своих</w:t>
      </w:r>
      <w:proofErr w:type="gramEnd"/>
      <w:r w:rsidR="00DB06E4" w:rsidRPr="005F071E">
        <w:rPr>
          <w:sz w:val="28"/>
          <w:szCs w:val="28"/>
        </w:rPr>
        <w:t xml:space="preserve">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14:paraId="037EC422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14:paraId="3136EBBF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FEDC59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14:paraId="265813A2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BF5E467" w14:textId="77777777"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14:paraId="4347FFE3" w14:textId="77777777"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14:paraId="3C307158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14:paraId="29791A8E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14:paraId="25FC8E68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</w:t>
      </w:r>
      <w:proofErr w:type="gramStart"/>
      <w:r w:rsidRPr="005F071E">
        <w:rPr>
          <w:sz w:val="28"/>
          <w:szCs w:val="28"/>
        </w:rPr>
        <w:t>решения</w:t>
      </w:r>
      <w:proofErr w:type="gramEnd"/>
      <w:r w:rsidRPr="005F071E">
        <w:rPr>
          <w:sz w:val="28"/>
          <w:szCs w:val="28"/>
        </w:rPr>
        <w:t xml:space="preserve"> не дожидаясь развития конфликтной ситуации; </w:t>
      </w:r>
    </w:p>
    <w:p w14:paraId="64EFF6EF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14:paraId="64E10FC8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14:paraId="29274725" w14:textId="77777777"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14:paraId="62E127F6" w14:textId="77777777"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14:paraId="72C6FA2E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14:paraId="5678B38A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14:paraId="6F8CA6A6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14:paraId="01E20F44" w14:textId="77777777"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14:paraId="587058FA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14:paraId="69124E47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14:paraId="7E51FA5E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14:paraId="29FEDCAA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14:paraId="31642A9E" w14:textId="77777777"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14:paraId="6AC3C676" w14:textId="77777777"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14:paraId="73A19F9D" w14:textId="77777777"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14:paraId="1A7548D1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14:paraId="20773A4B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14:paraId="190403D9" w14:textId="77777777"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14:paraId="4A1462F0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24797E" w14:textId="77777777"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14:paraId="11558442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8BF9545" w14:textId="77777777"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14:paraId="08CE41E0" w14:textId="77777777"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14:paraId="6BC1DEA0" w14:textId="77777777"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14:paraId="07869F6F" w14:textId="77777777"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14:paraId="529F09D0" w14:textId="77777777"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14:paraId="3A485C03" w14:textId="77777777"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14:paraId="04FEA4B4" w14:textId="77777777"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14:paraId="3801370D" w14:textId="77777777"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14:paraId="21A9C744" w14:textId="77777777"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14:paraId="094E3181" w14:textId="77777777"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14:paraId="17CDE560" w14:textId="77777777"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14:paraId="50E5609A" w14:textId="77777777"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14:paraId="0AB7CDCA" w14:textId="77777777"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14:paraId="485E69B1" w14:textId="77777777"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14:paraId="690984B0" w14:textId="77777777"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14:paraId="2D344887" w14:textId="77777777"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14:paraId="49CF2ECC" w14:textId="77777777"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431417" w14:textId="77777777"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14:paraId="246670E0" w14:textId="77777777"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14:paraId="090515E6" w14:textId="77777777"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ADC6F" w14:textId="77777777" w:rsidR="00FC72E2" w:rsidRDefault="00FC72E2" w:rsidP="00200F49">
      <w:r>
        <w:separator/>
      </w:r>
    </w:p>
  </w:endnote>
  <w:endnote w:type="continuationSeparator" w:id="0">
    <w:p w14:paraId="4734BC94" w14:textId="77777777" w:rsidR="00FC72E2" w:rsidRDefault="00FC72E2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5C7D6" w14:textId="77777777" w:rsidR="00FC72E2" w:rsidRDefault="00FC72E2" w:rsidP="00200F49">
      <w:r>
        <w:separator/>
      </w:r>
    </w:p>
  </w:footnote>
  <w:footnote w:type="continuationSeparator" w:id="0">
    <w:p w14:paraId="18B47D48" w14:textId="77777777" w:rsidR="00FC72E2" w:rsidRDefault="00FC72E2" w:rsidP="00200F49">
      <w:r>
        <w:continuationSeparator/>
      </w:r>
    </w:p>
  </w:footnote>
  <w:footnote w:id="1">
    <w:p w14:paraId="584B2793" w14:textId="77777777"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14:paraId="563A135C" w14:textId="77777777" w:rsidR="00FC72E2" w:rsidRDefault="00FC72E2" w:rsidP="00AC3712">
      <w:pPr>
        <w:pStyle w:val="a3"/>
        <w:ind w:firstLine="709"/>
      </w:pPr>
    </w:p>
  </w:footnote>
  <w:footnote w:id="2">
    <w:p w14:paraId="0D058BEA" w14:textId="77777777"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14:paraId="28D53B2B" w14:textId="77777777" w:rsidR="00FC72E2" w:rsidRDefault="00FC72E2">
      <w:pPr>
        <w:pStyle w:val="a3"/>
        <w:ind w:firstLine="709"/>
      </w:pPr>
    </w:p>
  </w:footnote>
  <w:footnote w:id="3">
    <w:p w14:paraId="174BAC14" w14:textId="77777777"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14:paraId="4D152B5E" w14:textId="77777777"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14:paraId="402DA684" w14:textId="77777777"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936D" w14:textId="77777777"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9C8DE5" w14:textId="77777777"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C3346" w14:textId="77777777"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639E">
      <w:rPr>
        <w:rStyle w:val="a7"/>
        <w:noProof/>
      </w:rPr>
      <w:t>12</w:t>
    </w:r>
    <w:r>
      <w:rPr>
        <w:rStyle w:val="a7"/>
      </w:rPr>
      <w:fldChar w:fldCharType="end"/>
    </w:r>
  </w:p>
  <w:p w14:paraId="3717F4AC" w14:textId="77777777"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E7"/>
    <w:rsid w:val="000407E0"/>
    <w:rsid w:val="00042645"/>
    <w:rsid w:val="000530C4"/>
    <w:rsid w:val="00062B86"/>
    <w:rsid w:val="00070598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0E35"/>
  <w15:docId w15:val="{943597F9-ED10-4E8B-A40C-C369E5EE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C803-4311-4F69-95B2-B549B31B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4106</Words>
  <Characters>23405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Пользователь</cp:lastModifiedBy>
  <cp:revision>2</cp:revision>
  <cp:lastPrinted>2014-12-24T07:30:00Z</cp:lastPrinted>
  <dcterms:created xsi:type="dcterms:W3CDTF">2023-04-04T08:39:00Z</dcterms:created>
  <dcterms:modified xsi:type="dcterms:W3CDTF">2023-04-04T08:39:00Z</dcterms:modified>
</cp:coreProperties>
</file>